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F0" w:rsidRDefault="000037F0" w:rsidP="000037F0">
      <w:pPr>
        <w:jc w:val="center"/>
        <w:rPr>
          <w:rFonts w:ascii="Times New Roman" w:hAnsi="Times New Roman" w:cs="Times New Roman"/>
          <w:b/>
          <w:sz w:val="28"/>
          <w:szCs w:val="28"/>
        </w:rPr>
      </w:pPr>
      <w:bookmarkStart w:id="0" w:name="_GoBack"/>
      <w:bookmarkEnd w:id="0"/>
      <w:r w:rsidRPr="005C0877">
        <w:rPr>
          <w:rFonts w:ascii="Times New Roman" w:hAnsi="Times New Roman" w:cs="Times New Roman"/>
          <w:b/>
          <w:sz w:val="28"/>
          <w:szCs w:val="28"/>
        </w:rPr>
        <w:t xml:space="preserve">7ª JORNADA DA REDE INTERAMERICANA DE DIREITOS FUNDAMENTAIS E DEMOCRACIA </w:t>
      </w:r>
    </w:p>
    <w:p w:rsidR="000037F0" w:rsidRDefault="000037F0" w:rsidP="000037F0">
      <w:pPr>
        <w:jc w:val="center"/>
        <w:rPr>
          <w:rFonts w:ascii="Times New Roman" w:hAnsi="Times New Roman" w:cs="Times New Roman"/>
          <w:b/>
          <w:sz w:val="28"/>
          <w:szCs w:val="28"/>
        </w:rPr>
      </w:pPr>
      <w:r w:rsidRPr="005C0877">
        <w:rPr>
          <w:rFonts w:ascii="Times New Roman" w:hAnsi="Times New Roman" w:cs="Times New Roman"/>
          <w:b/>
          <w:sz w:val="28"/>
          <w:szCs w:val="28"/>
        </w:rPr>
        <w:t xml:space="preserve">Realização: </w:t>
      </w:r>
    </w:p>
    <w:p w:rsidR="000037F0" w:rsidRDefault="000037F0" w:rsidP="000037F0">
      <w:pPr>
        <w:jc w:val="center"/>
        <w:rPr>
          <w:rFonts w:ascii="Times New Roman" w:hAnsi="Times New Roman" w:cs="Times New Roman"/>
          <w:b/>
          <w:sz w:val="24"/>
          <w:szCs w:val="24"/>
        </w:rPr>
      </w:pPr>
      <w:r w:rsidRPr="005C0877">
        <w:rPr>
          <w:rFonts w:ascii="Times New Roman" w:hAnsi="Times New Roman" w:cs="Times New Roman"/>
          <w:b/>
          <w:sz w:val="28"/>
          <w:szCs w:val="28"/>
        </w:rPr>
        <w:t>Programas de Pós-Graduação em Direito PUCRS / UNIFOR / PUCPR / UNOESC / UNISC / UNIBRASIL / FDV/ PUCP / Universidade Externado-</w:t>
      </w:r>
      <w:r w:rsidRPr="00EF283F">
        <w:rPr>
          <w:rFonts w:ascii="Times New Roman" w:hAnsi="Times New Roman" w:cs="Times New Roman"/>
          <w:b/>
          <w:sz w:val="24"/>
          <w:szCs w:val="24"/>
        </w:rPr>
        <w:t xml:space="preserve">Colômbia / UTalca, UNAM. </w:t>
      </w:r>
    </w:p>
    <w:p w:rsidR="000037F0" w:rsidRDefault="000037F0" w:rsidP="000037F0">
      <w:pPr>
        <w:jc w:val="center"/>
        <w:rPr>
          <w:rFonts w:ascii="Times New Roman" w:hAnsi="Times New Roman" w:cs="Times New Roman"/>
          <w:b/>
          <w:sz w:val="24"/>
          <w:szCs w:val="24"/>
        </w:rPr>
      </w:pPr>
      <w:r w:rsidRPr="00EF283F">
        <w:rPr>
          <w:rFonts w:ascii="Times New Roman" w:hAnsi="Times New Roman" w:cs="Times New Roman"/>
          <w:b/>
          <w:sz w:val="24"/>
          <w:szCs w:val="24"/>
        </w:rPr>
        <w:t>Apoio: PROEX CAPES, FUNCAP-</w:t>
      </w:r>
    </w:p>
    <w:p w:rsidR="000037F0" w:rsidRPr="00EF283F" w:rsidRDefault="000037F0" w:rsidP="000037F0">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EF283F">
        <w:rPr>
          <w:rFonts w:ascii="Times New Roman" w:hAnsi="Times New Roman" w:cs="Times New Roman"/>
          <w:b/>
          <w:sz w:val="24"/>
          <w:szCs w:val="24"/>
        </w:rPr>
        <w:t xml:space="preserve"> 28 à 30 DE OUTUBRO DE 2020.</w:t>
      </w:r>
    </w:p>
    <w:p w:rsidR="000037F0" w:rsidRPr="005C0877" w:rsidRDefault="000037F0" w:rsidP="000037F0">
      <w:pPr>
        <w:jc w:val="center"/>
        <w:rPr>
          <w:rFonts w:ascii="Times New Roman" w:hAnsi="Times New Roman" w:cs="Times New Roman"/>
          <w:b/>
          <w:sz w:val="28"/>
          <w:szCs w:val="28"/>
        </w:rPr>
      </w:pPr>
      <w:r w:rsidRPr="005C0877">
        <w:rPr>
          <w:rFonts w:ascii="Times New Roman" w:hAnsi="Times New Roman" w:cs="Times New Roman"/>
          <w:b/>
          <w:sz w:val="28"/>
          <w:szCs w:val="28"/>
        </w:rPr>
        <w:t>EDITAL DE COMUNICAÇÕES CIENTÍFICAS</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1. O presente Edital fixa as regras para a submissão e aprovação de comunicações científicas (trabalhos) a serem feitas nos Grupos Temáticos (GTs) relativos à</w:t>
      </w:r>
      <w:r>
        <w:rPr>
          <w:rFonts w:ascii="Times New Roman" w:hAnsi="Times New Roman" w:cs="Times New Roman"/>
          <w:sz w:val="24"/>
          <w:szCs w:val="24"/>
        </w:rPr>
        <w:t xml:space="preserve"> 7ª </w:t>
      </w:r>
      <w:r w:rsidRPr="00EF283F">
        <w:rPr>
          <w:rFonts w:ascii="Times New Roman" w:hAnsi="Times New Roman" w:cs="Times New Roman"/>
          <w:sz w:val="24"/>
          <w:szCs w:val="24"/>
        </w:rPr>
        <w:t xml:space="preserve">Jornada da Rede Interamericana de Direitos Fundamentais e Democracia. </w:t>
      </w:r>
    </w:p>
    <w:p w:rsidR="000037F0"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2. Os GTs</w:t>
      </w:r>
      <w:r w:rsidR="00087FD9">
        <w:rPr>
          <w:rFonts w:ascii="Times New Roman" w:hAnsi="Times New Roman" w:cs="Times New Roman"/>
          <w:sz w:val="24"/>
          <w:szCs w:val="24"/>
        </w:rPr>
        <w:t>,</w:t>
      </w:r>
      <w:r w:rsidRPr="00EF283F">
        <w:rPr>
          <w:rFonts w:ascii="Times New Roman" w:hAnsi="Times New Roman" w:cs="Times New Roman"/>
          <w:sz w:val="24"/>
          <w:szCs w:val="24"/>
        </w:rPr>
        <w:t xml:space="preserve"> aos quais os trabalhos serão submetidos</w:t>
      </w:r>
      <w:r w:rsidR="00087FD9">
        <w:rPr>
          <w:rFonts w:ascii="Times New Roman" w:hAnsi="Times New Roman" w:cs="Times New Roman"/>
          <w:sz w:val="24"/>
          <w:szCs w:val="24"/>
        </w:rPr>
        <w:t>,</w:t>
      </w:r>
      <w:r w:rsidRPr="00EF283F">
        <w:rPr>
          <w:rFonts w:ascii="Times New Roman" w:hAnsi="Times New Roman" w:cs="Times New Roman"/>
          <w:sz w:val="24"/>
          <w:szCs w:val="24"/>
        </w:rPr>
        <w:t xml:space="preserve"> são os seguintes: </w:t>
      </w:r>
    </w:p>
    <w:p w:rsidR="000037F0" w:rsidRPr="000519CE" w:rsidRDefault="000037F0" w:rsidP="000037F0">
      <w:pPr>
        <w:spacing w:after="0" w:line="240" w:lineRule="auto"/>
        <w:rPr>
          <w:rFonts w:ascii="Times New Roman" w:eastAsia="Times New Roman" w:hAnsi="Times New Roman" w:cs="Times New Roman"/>
          <w:sz w:val="24"/>
          <w:szCs w:val="24"/>
          <w:lang w:eastAsia="pt-BR"/>
        </w:rPr>
      </w:pPr>
      <w:r w:rsidRPr="000519CE">
        <w:rPr>
          <w:rFonts w:ascii="Times New Roman" w:eastAsia="Times New Roman" w:hAnsi="Times New Roman" w:cs="Times New Roman"/>
          <w:sz w:val="24"/>
          <w:szCs w:val="24"/>
          <w:lang w:eastAsia="pt-BR"/>
        </w:rPr>
        <w:t>GT 1. Direitos fundamentais e proteção de grupos vulneráveis.</w:t>
      </w:r>
      <w:r w:rsidRPr="000519CE">
        <w:rPr>
          <w:rFonts w:ascii="Times New Roman" w:eastAsia="Times New Roman" w:hAnsi="Times New Roman" w:cs="Times New Roman"/>
          <w:sz w:val="24"/>
          <w:szCs w:val="24"/>
          <w:lang w:eastAsia="pt-BR"/>
        </w:rPr>
        <w:br/>
        <w:t>GT 2. Direitos políticos fundamentais e os desafios da democracia.</w:t>
      </w:r>
      <w:r w:rsidRPr="000519CE">
        <w:rPr>
          <w:rFonts w:ascii="Times New Roman" w:eastAsia="Times New Roman" w:hAnsi="Times New Roman" w:cs="Times New Roman"/>
          <w:sz w:val="24"/>
          <w:szCs w:val="24"/>
          <w:lang w:eastAsia="pt-BR"/>
        </w:rPr>
        <w:br/>
        <w:t>GT 3. Direitos fundamentais e novas tecnologias.</w:t>
      </w:r>
      <w:r w:rsidRPr="000519CE">
        <w:rPr>
          <w:rFonts w:ascii="Times New Roman" w:eastAsia="Times New Roman" w:hAnsi="Times New Roman" w:cs="Times New Roman"/>
          <w:sz w:val="24"/>
          <w:szCs w:val="24"/>
          <w:lang w:eastAsia="pt-BR"/>
        </w:rPr>
        <w:br/>
        <w:t>GT 4. Direitos sociais: desafios contemporâneos em face do desenvolvimento e da sustentabilidade</w:t>
      </w:r>
      <w:r w:rsidRPr="000519CE">
        <w:rPr>
          <w:rFonts w:ascii="Times New Roman" w:eastAsia="Times New Roman" w:hAnsi="Times New Roman" w:cs="Times New Roman"/>
          <w:sz w:val="24"/>
          <w:szCs w:val="24"/>
          <w:lang w:eastAsia="pt-BR"/>
        </w:rPr>
        <w:br/>
        <w:t>GT 5. Direitos fundamentais, controle de constitucionalidade e de convencionalidade.</w:t>
      </w:r>
      <w:r w:rsidRPr="000519CE">
        <w:rPr>
          <w:rFonts w:ascii="Times New Roman" w:eastAsia="Times New Roman" w:hAnsi="Times New Roman" w:cs="Times New Roman"/>
          <w:sz w:val="24"/>
          <w:szCs w:val="24"/>
          <w:lang w:eastAsia="pt-BR"/>
        </w:rPr>
        <w:br/>
        <w:t>GT 6. Liberdades fundamentais e direitos de personalidade.</w:t>
      </w:r>
      <w:r w:rsidRPr="000519CE">
        <w:rPr>
          <w:rFonts w:ascii="Times New Roman" w:eastAsia="Times New Roman" w:hAnsi="Times New Roman" w:cs="Times New Roman"/>
          <w:sz w:val="24"/>
          <w:szCs w:val="24"/>
          <w:lang w:eastAsia="pt-BR"/>
        </w:rPr>
        <w:br/>
        <w:t>GT 7.Direitos fundamentais dos migrantes.</w:t>
      </w:r>
      <w:r w:rsidRPr="000519CE">
        <w:rPr>
          <w:rFonts w:ascii="Times New Roman" w:eastAsia="Times New Roman" w:hAnsi="Times New Roman" w:cs="Times New Roman"/>
          <w:sz w:val="24"/>
          <w:szCs w:val="24"/>
          <w:lang w:eastAsia="pt-BR"/>
        </w:rPr>
        <w:br/>
        <w:t>GT 8. Direitos Fundamentais, Empresas, Tributação e Orçamentos</w:t>
      </w:r>
      <w:r w:rsidRPr="000519CE">
        <w:rPr>
          <w:rFonts w:ascii="Times New Roman" w:eastAsia="Times New Roman" w:hAnsi="Times New Roman" w:cs="Times New Roman"/>
          <w:sz w:val="24"/>
          <w:szCs w:val="24"/>
          <w:lang w:eastAsia="pt-BR"/>
        </w:rPr>
        <w:br/>
        <w:t>GT 9. Direitos fundamentais processuais e efetividade das técnicas judiciárias de proteção dos direitos fundamentais.</w:t>
      </w:r>
      <w:r w:rsidRPr="000519CE">
        <w:rPr>
          <w:rFonts w:ascii="Times New Roman" w:eastAsia="Times New Roman" w:hAnsi="Times New Roman" w:cs="Times New Roman"/>
          <w:sz w:val="24"/>
          <w:szCs w:val="24"/>
          <w:lang w:eastAsia="pt-BR"/>
        </w:rPr>
        <w:br/>
        <w:t>GT10. Direitos Fundamentais e Seguridade Social, Previdência, Saúde e Assistência Social.</w:t>
      </w:r>
    </w:p>
    <w:p w:rsidR="000037F0" w:rsidRPr="000519CE" w:rsidRDefault="000037F0" w:rsidP="000037F0">
      <w:pPr>
        <w:spacing w:after="0" w:line="240" w:lineRule="auto"/>
        <w:rPr>
          <w:rFonts w:ascii="Times New Roman" w:eastAsia="Times New Roman" w:hAnsi="Times New Roman" w:cs="Times New Roman"/>
          <w:sz w:val="24"/>
          <w:szCs w:val="24"/>
          <w:lang w:eastAsia="pt-BR"/>
        </w:rPr>
      </w:pPr>
      <w:r w:rsidRPr="000519CE">
        <w:rPr>
          <w:rFonts w:ascii="Times New Roman" w:eastAsia="Times New Roman" w:hAnsi="Times New Roman" w:cs="Times New Roman"/>
          <w:sz w:val="24"/>
          <w:szCs w:val="24"/>
          <w:lang w:eastAsia="pt-BR"/>
        </w:rPr>
        <w:t>GT11. Direitos fundamentais e emergência sanitária em razão da pandemia do COVID-19</w:t>
      </w:r>
    </w:p>
    <w:p w:rsidR="000037F0" w:rsidRPr="000519CE" w:rsidRDefault="000037F0" w:rsidP="000037F0">
      <w:pPr>
        <w:spacing w:after="0" w:line="240" w:lineRule="auto"/>
        <w:rPr>
          <w:rFonts w:ascii="Times New Roman" w:hAnsi="Times New Roman" w:cs="Times New Roman"/>
          <w:sz w:val="24"/>
          <w:szCs w:val="24"/>
          <w:shd w:val="clear" w:color="auto" w:fill="FFFFFF"/>
        </w:rPr>
      </w:pPr>
      <w:r w:rsidRPr="000519CE">
        <w:rPr>
          <w:rFonts w:ascii="Times New Roman" w:eastAsia="Times New Roman" w:hAnsi="Times New Roman" w:cs="Times New Roman"/>
          <w:sz w:val="24"/>
          <w:szCs w:val="24"/>
          <w:lang w:eastAsia="pt-BR"/>
        </w:rPr>
        <w:t xml:space="preserve">GT12. </w:t>
      </w:r>
      <w:r w:rsidRPr="000519CE">
        <w:rPr>
          <w:rFonts w:ascii="Times New Roman" w:hAnsi="Times New Roman" w:cs="Times New Roman"/>
          <w:sz w:val="24"/>
          <w:szCs w:val="24"/>
          <w:shd w:val="clear" w:color="auto" w:fill="FFFFFF"/>
        </w:rPr>
        <w:t>Direitos fundamentais, antropocentrismo e ecocentrismo diante da proibição de retrocesso ambiental.</w:t>
      </w:r>
    </w:p>
    <w:p w:rsidR="000037F0" w:rsidRPr="00EF283F" w:rsidRDefault="000037F0" w:rsidP="000037F0">
      <w:pPr>
        <w:spacing w:after="0" w:line="240" w:lineRule="auto"/>
        <w:rPr>
          <w:rFonts w:ascii="Times New Roman" w:eastAsia="Times New Roman" w:hAnsi="Times New Roman" w:cs="Times New Roman"/>
          <w:sz w:val="24"/>
          <w:szCs w:val="24"/>
          <w:lang w:eastAsia="pt-BR"/>
        </w:rPr>
      </w:pP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3. As comunicações poderão ser enviadas até o dia 25 de setembro de 2020, impreteri</w:t>
      </w:r>
      <w:r w:rsidR="00CD49B0">
        <w:rPr>
          <w:rFonts w:ascii="Times New Roman" w:hAnsi="Times New Roman" w:cs="Times New Roman"/>
          <w:sz w:val="24"/>
          <w:szCs w:val="24"/>
        </w:rPr>
        <w:t xml:space="preserve">velmente, pelo </w:t>
      </w:r>
      <w:r w:rsidR="00CD49B0" w:rsidRPr="003B62B2">
        <w:rPr>
          <w:rFonts w:ascii="Times New Roman" w:hAnsi="Times New Roman" w:cs="Times New Roman"/>
          <w:b/>
          <w:sz w:val="24"/>
          <w:szCs w:val="24"/>
        </w:rPr>
        <w:t>e-mail redidd2020</w:t>
      </w:r>
      <w:r w:rsidRPr="003B62B2">
        <w:rPr>
          <w:rFonts w:ascii="Times New Roman" w:hAnsi="Times New Roman" w:cs="Times New Roman"/>
          <w:b/>
          <w:sz w:val="24"/>
          <w:szCs w:val="24"/>
        </w:rPr>
        <w:t>@unifor.br.</w:t>
      </w:r>
      <w:r w:rsidRPr="00EF283F">
        <w:rPr>
          <w:rFonts w:ascii="Times New Roman" w:hAnsi="Times New Roman" w:cs="Times New Roman"/>
          <w:sz w:val="24"/>
          <w:szCs w:val="24"/>
        </w:rPr>
        <w:t xml:space="preserve"> Os resultados das submissões serão divulgados até o dia 09 de outubro de 2020.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a. No título do e-mail, o autor deve indicar somente o GT a que é submetido o trabalho. b. Na hipótese de coautoria, o autor responsável pelo envio deverá copiar o outro autor, sob pena de eliminação da comunicação.</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4. Os artigos devem possuir relação com as temáticas dos eixos temáticos do evento e grupos temáticos. No momento do envio do artigo é necessário informar a vinculação do mesmo ao respectivo grupo temático. Serão aceitos 12 artigos por grupo temático.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lastRenderedPageBreak/>
        <w:t>5. Somente será aceito um artigo por autor, podendo os artigos possuírem um máximo de dois autores.</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6. O título do artigo deve estar centralizado, no idioma do artigo. Abaixo, colocar o título em inglês.</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7. O resumo deve conter de 180 até 250 palavras. Deve ser escrito no idioma do autor e traduzido para o inglês (abstract). Deve apresentar de 3 a 5 palavras chave, na língua original e em inglês.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8. Serão aceitos artigos em português, espanhol e inglês.</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9. Não serão aceitos artigos no formato autor-data. Deve ser utilizado o formato numérico (com notas de rodapé).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10. Os artigos devem possuir entre 10 e 15 páginas, incluída a bibliografia ao final, com letra Arial, tamanho 12, em documento word, com as margens de 3 cm (superior e esquerda) e 2 cm (inferior e direita).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11. Os artigos devem ser enviados ao e-mail </w:t>
      </w:r>
      <w:hyperlink r:id="rId7" w:history="1">
        <w:r w:rsidR="00CD49B0" w:rsidRPr="0035095D">
          <w:rPr>
            <w:rStyle w:val="Hyperlink"/>
            <w:rFonts w:ascii="Times New Roman" w:hAnsi="Times New Roman" w:cs="Times New Roman"/>
            <w:sz w:val="24"/>
            <w:szCs w:val="24"/>
          </w:rPr>
          <w:t>redidd2020@unifor.br</w:t>
        </w:r>
      </w:hyperlink>
      <w:r w:rsidRPr="00EF283F">
        <w:rPr>
          <w:rFonts w:ascii="Times New Roman" w:hAnsi="Times New Roman" w:cs="Times New Roman"/>
          <w:sz w:val="24"/>
          <w:szCs w:val="24"/>
        </w:rPr>
        <w:t xml:space="preserve">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12. Indicar o assunto do e-mail o grupo temático para o qual está submetendo o artigo. 13. O artigo deve ser anexado no respectivo e-mail no formato word.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14. Não serão aceitas apresentações previamente gravadas ou por videoconferência.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15. Não serão aceitos trabalhos fora das temáticas dos GTs propostos.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16. Os trabalhos apresentados farão jus à emissão de certificado de participação.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17. Cada trabalho será apresentado por um dos autores, em caso de coautoria.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18. O prazo para apresentação do trabalho será de 10 (dez) minutos.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19. As referências ao final do artigo devem obedecer às seguintes regras:</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a. Livros: Sobrenomes e nome do autor, nome do livro, cidade, editora e ano. (A.T.L:EA) Exemplo: Nogueira Alcalá, Humberto. El diálogo transjudicial de los Tribunales Constitucionales entre sí y con las Cortes Internacionales de Derechos Humanos. Santiago: Librotecnia, 2012;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b. Capítulos de livros: Sobrenomes e nome do autor, nome do capítulo entre aspas, nome do organizador ou coordenador do livro, nome do livro, cidade, editora e ano. Exemplo: Jinesta Lobo, Ernesto. “Control de convencionalidad ejercido por los Tribunales y Salas Constitucionales”, en Ferrer Mac-Gregor, Eduardo (Coord.): El control difuso de convencionalidad. Diálogo entre la Corte Interamericana de Derechos Humanos y los jueces nacionales. Querétaro, FUNDAp, 2012.</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 c. Artigos em revistas: Sobrenomes e nome do autor, nome do artigo entre aspas, nome da revista ou anuário em que o mesmo foi publicado, volume e número, ano, cidade e instituição, primeira e última página. Exemplo: Moyano Bonilla, César.“El principio de la primacía del derecho internacional”, en Jurídica. Anuario del Departamento de Derecho de la Universidad Iberoamericana, n. 24, 1995-1, Ciudad de México DF, Universidad Iberoamericana, p. 311-337. </w:t>
      </w:r>
    </w:p>
    <w:p w:rsidR="000037F0" w:rsidRPr="00EF283F" w:rsidRDefault="000037F0" w:rsidP="000037F0">
      <w:pPr>
        <w:jc w:val="both"/>
        <w:rPr>
          <w:rFonts w:ascii="Times New Roman" w:hAnsi="Times New Roman" w:cs="Times New Roman"/>
          <w:sz w:val="24"/>
          <w:szCs w:val="24"/>
        </w:rPr>
      </w:pPr>
      <w:r w:rsidRPr="00EF283F">
        <w:rPr>
          <w:rFonts w:ascii="Times New Roman" w:hAnsi="Times New Roman" w:cs="Times New Roman"/>
          <w:sz w:val="24"/>
          <w:szCs w:val="24"/>
        </w:rPr>
        <w:t xml:space="preserve">d. Decisões judiciais: Tribunal, identificação do caso, rol ou número de expediente, data da sentença. Exemplo: Corte Suprema: Perez con Fisco. Rol N° 230-2009, sentencia de fecha 15 de abril de 2009. e. Sentenças da Corte Interamericana de Direitos Humanos: Exemplo: Corte IDH: Caso Almonacid Arellano y otros vs. Chile. Excepciones Preliminares, Fondo, Reparaciones y Costas. Sentencia de 26 de septiembre de 2006. Serie C Nº 154. 21. </w:t>
      </w:r>
    </w:p>
    <w:p w:rsidR="000037F0" w:rsidRPr="00EF283F" w:rsidRDefault="000037F0" w:rsidP="000037F0">
      <w:pPr>
        <w:jc w:val="both"/>
        <w:rPr>
          <w:rFonts w:ascii="Times New Roman" w:hAnsi="Times New Roman" w:cs="Times New Roman"/>
          <w:b/>
          <w:sz w:val="24"/>
          <w:szCs w:val="24"/>
        </w:rPr>
      </w:pPr>
      <w:r w:rsidRPr="00EF283F">
        <w:rPr>
          <w:rFonts w:ascii="Times New Roman" w:hAnsi="Times New Roman" w:cs="Times New Roman"/>
          <w:sz w:val="24"/>
          <w:szCs w:val="24"/>
        </w:rPr>
        <w:t>20. Os artigos enviados por professores doutores, aceitos e defendidos, farão parte de Coletânea Publicada pela RED-IDD, com ISBN. Os artigos enviados, aceitos e defendidos, exclusivamente por mestrandos e doutorandos serão publicados nos anais do evento, com ISNN.</w:t>
      </w:r>
      <w:r w:rsidRPr="00EF283F">
        <w:rPr>
          <w:rFonts w:ascii="Times New Roman" w:hAnsi="Times New Roman" w:cs="Times New Roman"/>
          <w:b/>
          <w:sz w:val="24"/>
          <w:szCs w:val="24"/>
        </w:rPr>
        <w:t xml:space="preserve"> A divulgação dos artigos aceitos, para apresentação, será realizada o dia 09 de outubro de de 2020. </w:t>
      </w:r>
    </w:p>
    <w:p w:rsidR="000037F0" w:rsidRDefault="000037F0" w:rsidP="000037F0">
      <w:pPr>
        <w:spacing w:after="0" w:line="240" w:lineRule="auto"/>
        <w:jc w:val="center"/>
        <w:rPr>
          <w:b/>
        </w:rPr>
      </w:pPr>
    </w:p>
    <w:p w:rsidR="000037F0" w:rsidRDefault="000037F0"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0037F0" w:rsidRDefault="000037F0"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A10D93" w:rsidRDefault="00A10D93" w:rsidP="000037F0">
      <w:pPr>
        <w:spacing w:after="0" w:line="240" w:lineRule="auto"/>
        <w:jc w:val="center"/>
        <w:rPr>
          <w:b/>
        </w:rPr>
      </w:pPr>
    </w:p>
    <w:p w:rsidR="000037F0" w:rsidRPr="00A10D93" w:rsidRDefault="000037F0" w:rsidP="000037F0">
      <w:pPr>
        <w:spacing w:after="0" w:line="240" w:lineRule="auto"/>
        <w:jc w:val="center"/>
        <w:rPr>
          <w:b/>
          <w:sz w:val="24"/>
          <w:szCs w:val="24"/>
        </w:rPr>
      </w:pPr>
      <w:r w:rsidRPr="00A10D93">
        <w:rPr>
          <w:b/>
          <w:sz w:val="24"/>
          <w:szCs w:val="24"/>
        </w:rPr>
        <w:t>7ª JORNADA INTERAMERICANA DE DERECHOS FUNDAMENTALES Y DEMOCRACIA</w:t>
      </w:r>
    </w:p>
    <w:p w:rsidR="00A10D93" w:rsidRDefault="000037F0" w:rsidP="000037F0">
      <w:pPr>
        <w:spacing w:after="0" w:line="240" w:lineRule="auto"/>
        <w:jc w:val="center"/>
        <w:rPr>
          <w:b/>
          <w:sz w:val="24"/>
          <w:szCs w:val="24"/>
        </w:rPr>
      </w:pPr>
      <w:r w:rsidRPr="00A10D93">
        <w:rPr>
          <w:b/>
          <w:sz w:val="24"/>
          <w:szCs w:val="24"/>
        </w:rPr>
        <w:t xml:space="preserve">Red Interamericana de Investigación en Derechos Fundamentales y Democracia </w:t>
      </w:r>
    </w:p>
    <w:p w:rsidR="000037F0" w:rsidRPr="00A10D93" w:rsidRDefault="000037F0" w:rsidP="000037F0">
      <w:pPr>
        <w:spacing w:after="0" w:line="240" w:lineRule="auto"/>
        <w:jc w:val="center"/>
        <w:rPr>
          <w:sz w:val="24"/>
          <w:szCs w:val="24"/>
        </w:rPr>
      </w:pPr>
      <w:r w:rsidRPr="00A10D93">
        <w:rPr>
          <w:b/>
          <w:sz w:val="24"/>
          <w:szCs w:val="24"/>
        </w:rPr>
        <w:t>RED-IDD</w:t>
      </w:r>
    </w:p>
    <w:p w:rsidR="000037F0" w:rsidRDefault="000037F0" w:rsidP="000037F0">
      <w:pPr>
        <w:spacing w:after="0" w:line="240" w:lineRule="auto"/>
        <w:jc w:val="center"/>
      </w:pPr>
    </w:p>
    <w:p w:rsidR="000037F0" w:rsidRDefault="000037F0" w:rsidP="000037F0">
      <w:pPr>
        <w:spacing w:after="0" w:line="240" w:lineRule="auto"/>
        <w:jc w:val="center"/>
      </w:pPr>
      <w:r>
        <w:t>Programas de Posgrado en Derecho PUCRS / UNIFOR / PUCPR / UNOESC / UNISC / UNIBRASIL / FDV / PUCP / Universidade Externado-Colombia / UTalca, UNAM.</w:t>
      </w:r>
    </w:p>
    <w:p w:rsidR="000037F0" w:rsidRDefault="000037F0" w:rsidP="000037F0">
      <w:pPr>
        <w:spacing w:after="0" w:line="240" w:lineRule="auto"/>
        <w:jc w:val="center"/>
      </w:pPr>
      <w:r>
        <w:t>Soporte: PROEX CAPES, FUNCAP-</w:t>
      </w:r>
    </w:p>
    <w:p w:rsidR="000037F0" w:rsidRDefault="000037F0" w:rsidP="000037F0">
      <w:pPr>
        <w:spacing w:after="0" w:line="240" w:lineRule="auto"/>
        <w:jc w:val="center"/>
      </w:pPr>
      <w:r>
        <w:t>28 al 30 de OCTUBRE de 2020.</w:t>
      </w:r>
    </w:p>
    <w:p w:rsidR="000037F0" w:rsidRDefault="000037F0" w:rsidP="000037F0">
      <w:pPr>
        <w:spacing w:after="0" w:line="240" w:lineRule="auto"/>
        <w:jc w:val="center"/>
        <w:rPr>
          <w:b/>
        </w:rPr>
      </w:pPr>
    </w:p>
    <w:p w:rsidR="000037F0" w:rsidRDefault="000037F0" w:rsidP="000037F0">
      <w:pPr>
        <w:spacing w:after="0" w:line="240" w:lineRule="auto"/>
        <w:jc w:val="center"/>
        <w:rPr>
          <w:b/>
        </w:rPr>
      </w:pPr>
    </w:p>
    <w:p w:rsidR="000037F0" w:rsidRPr="001C5F31" w:rsidRDefault="000037F0" w:rsidP="000037F0">
      <w:pPr>
        <w:spacing w:after="0" w:line="240" w:lineRule="auto"/>
        <w:jc w:val="center"/>
        <w:rPr>
          <w:b/>
        </w:rPr>
      </w:pPr>
      <w:r>
        <w:rPr>
          <w:b/>
        </w:rPr>
        <w:t xml:space="preserve">CONVOCATORIA A </w:t>
      </w:r>
      <w:r w:rsidRPr="001C5F31">
        <w:rPr>
          <w:b/>
        </w:rPr>
        <w:t>COMUNICACIONES CIENTÍFICAS</w:t>
      </w:r>
    </w:p>
    <w:p w:rsidR="000037F0" w:rsidRDefault="000037F0" w:rsidP="000037F0">
      <w:pPr>
        <w:spacing w:after="0" w:line="240" w:lineRule="auto"/>
      </w:pPr>
    </w:p>
    <w:p w:rsidR="000037F0" w:rsidRDefault="000037F0" w:rsidP="000037F0">
      <w:pPr>
        <w:pStyle w:val="PargrafodaLista"/>
        <w:numPr>
          <w:ilvl w:val="0"/>
          <w:numId w:val="2"/>
        </w:numPr>
        <w:spacing w:after="0" w:line="240" w:lineRule="auto"/>
        <w:ind w:left="360"/>
        <w:jc w:val="both"/>
      </w:pPr>
      <w:r>
        <w:t>El presente Aviso establece las reglas para la presentación y aprobación de las comunicaciones científicas (trabajos) a realizarse en los Grupos Temáticos (GT) relacionados con la Red Interamericana de Derechos Fundamentales y Día de la Democracia.</w:t>
      </w:r>
    </w:p>
    <w:p w:rsidR="000037F0" w:rsidRDefault="000037F0" w:rsidP="000037F0">
      <w:pPr>
        <w:spacing w:after="0" w:line="240" w:lineRule="auto"/>
        <w:jc w:val="both"/>
      </w:pPr>
    </w:p>
    <w:p w:rsidR="000037F0" w:rsidRDefault="000037F0" w:rsidP="000037F0">
      <w:pPr>
        <w:pStyle w:val="PargrafodaLista"/>
        <w:numPr>
          <w:ilvl w:val="0"/>
          <w:numId w:val="2"/>
        </w:numPr>
        <w:spacing w:after="0" w:line="240" w:lineRule="auto"/>
        <w:ind w:left="360"/>
        <w:jc w:val="both"/>
      </w:pPr>
      <w:r>
        <w:t>Los GT a los que se someterán los trabajos son los siguientes: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1. Derechos fundamentales y protección de grupos vulnerables.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2. Derechos políticos fundamentales y desafíos de la democracia.</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3. Derechos fundamentales y nuevas tecnologías.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4. Derechos sociales: desafíos contemporáneos frente al desarrollo y la sostenibilidad</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5. Derechos fundamentales, control de constitucionalidad y convencionalidad.</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6. Libertades fundamentales y derechos de la personalidad.</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7. Derechos fundamentales de los migrantes.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8. Derechos fundamentales, empresas, fiscalidad y presupuestos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 9. Derechos procesales fundamentales y efectividad de las técnicas judiciales para la protección de los derechos fundamentales.</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GT10. Derechos Fundamentales y Seguridad Social, Bienestar, Salud y Asistencia Social.</w:t>
      </w:r>
    </w:p>
    <w:p w:rsidR="000037F0" w:rsidRPr="00230E07" w:rsidRDefault="000037F0" w:rsidP="000037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s-ES" w:eastAsia="pt-BR"/>
        </w:rPr>
      </w:pPr>
      <w:r w:rsidRPr="00230E07">
        <w:rPr>
          <w:rFonts w:eastAsia="Times New Roman" w:cs="Courier New"/>
          <w:color w:val="222222"/>
          <w:lang w:val="es-ES" w:eastAsia="pt-BR"/>
        </w:rPr>
        <w:t>GT11. Derechos fundamentales y emergencias sanitarias por la pandemia COVID-19</w:t>
      </w:r>
    </w:p>
    <w:p w:rsidR="000037F0" w:rsidRPr="009A19BC" w:rsidRDefault="000037F0" w:rsidP="000037F0">
      <w:pPr>
        <w:spacing w:after="0" w:line="240" w:lineRule="auto"/>
        <w:jc w:val="both"/>
      </w:pPr>
      <w:r w:rsidRPr="009A19BC">
        <w:rPr>
          <w:rFonts w:eastAsia="Times New Roman" w:cs="Courier New"/>
          <w:color w:val="222222"/>
          <w:lang w:val="es-ES" w:eastAsia="pt-BR"/>
        </w:rPr>
        <w:t>GT12. Derechos fundamentales, antropocentrismo y ecocentrismo ante la prohibición del retroceso ambiental.</w:t>
      </w:r>
    </w:p>
    <w:p w:rsidR="000037F0" w:rsidRPr="009A19BC" w:rsidRDefault="000037F0" w:rsidP="000037F0">
      <w:pPr>
        <w:spacing w:after="0" w:line="240" w:lineRule="auto"/>
        <w:jc w:val="both"/>
      </w:pPr>
    </w:p>
    <w:p w:rsidR="000037F0" w:rsidRDefault="000037F0" w:rsidP="000037F0">
      <w:pPr>
        <w:pStyle w:val="PargrafodaLista"/>
        <w:numPr>
          <w:ilvl w:val="0"/>
          <w:numId w:val="1"/>
        </w:numPr>
        <w:spacing w:after="0" w:line="240" w:lineRule="auto"/>
        <w:ind w:left="0"/>
        <w:jc w:val="both"/>
      </w:pPr>
      <w:r>
        <w:t>Las comunicaciones se pueden enviar hasta el 25 de septiembre de 2020. Los resultados de las presentaciones se darán a conocer hasta el 9 de octubre de 2020.</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 xml:space="preserve">Los trabajos deben enviarse a </w:t>
      </w:r>
      <w:hyperlink r:id="rId8" w:history="1">
        <w:r w:rsidR="00D70342" w:rsidRPr="0035095D">
          <w:rPr>
            <w:rStyle w:val="Hyperlink"/>
          </w:rPr>
          <w:t>redidd2020@unifor.br</w:t>
        </w:r>
      </w:hyperlink>
    </w:p>
    <w:p w:rsidR="000037F0" w:rsidRDefault="000037F0" w:rsidP="000037F0">
      <w:pPr>
        <w:pStyle w:val="PargrafodaLista"/>
        <w:spacing w:after="0" w:line="240" w:lineRule="auto"/>
        <w:ind w:left="0"/>
      </w:pPr>
    </w:p>
    <w:p w:rsidR="000037F0" w:rsidRDefault="000037F0" w:rsidP="000037F0">
      <w:pPr>
        <w:pStyle w:val="PargrafodaLista"/>
        <w:numPr>
          <w:ilvl w:val="0"/>
          <w:numId w:val="1"/>
        </w:numPr>
        <w:spacing w:after="0" w:line="240" w:lineRule="auto"/>
        <w:ind w:left="0"/>
        <w:jc w:val="both"/>
      </w:pPr>
      <w:r>
        <w:t xml:space="preserve">En el asunto del correo electrónico deberá indicarse al Grupo Temático al que se envía el trabajo. </w:t>
      </w:r>
    </w:p>
    <w:p w:rsidR="000037F0" w:rsidRDefault="000037F0" w:rsidP="000037F0">
      <w:pPr>
        <w:pStyle w:val="PargrafodaLista"/>
        <w:spacing w:after="0" w:line="240" w:lineRule="auto"/>
        <w:ind w:left="0"/>
      </w:pPr>
    </w:p>
    <w:p w:rsidR="000037F0" w:rsidRDefault="000037F0" w:rsidP="000037F0">
      <w:pPr>
        <w:pStyle w:val="PargrafodaLista"/>
        <w:numPr>
          <w:ilvl w:val="0"/>
          <w:numId w:val="1"/>
        </w:numPr>
        <w:spacing w:after="0" w:line="240" w:lineRule="auto"/>
        <w:ind w:left="0"/>
        <w:jc w:val="both"/>
      </w:pPr>
      <w:r>
        <w:t>Los trabajos deberán adjuntarse al correo electrónico en formato word.</w:t>
      </w:r>
    </w:p>
    <w:p w:rsidR="000037F0" w:rsidRDefault="000037F0" w:rsidP="000037F0">
      <w:pPr>
        <w:pStyle w:val="PargrafodaLista"/>
        <w:spacing w:after="0" w:line="240" w:lineRule="auto"/>
        <w:ind w:left="0"/>
      </w:pPr>
    </w:p>
    <w:p w:rsidR="000037F0" w:rsidRDefault="000037F0" w:rsidP="000037F0">
      <w:pPr>
        <w:pStyle w:val="PargrafodaLista"/>
        <w:numPr>
          <w:ilvl w:val="0"/>
          <w:numId w:val="1"/>
        </w:numPr>
        <w:spacing w:after="0" w:line="240" w:lineRule="auto"/>
        <w:ind w:left="0"/>
        <w:jc w:val="both"/>
      </w:pPr>
      <w:r>
        <w:t>Los trabajos deben estar relacionados con la temática de los ejes temáticos y grupos temáticos del evento. Al enviar el artículo es imprescindible indicar que Grupo Temático se encuentra vinculado. Se aceptarán solo 12 artículos Grupo Temático.</w:t>
      </w:r>
    </w:p>
    <w:p w:rsidR="000037F0" w:rsidRDefault="000037F0" w:rsidP="000037F0">
      <w:pPr>
        <w:spacing w:after="0" w:line="240" w:lineRule="auto"/>
        <w:jc w:val="both"/>
      </w:pPr>
    </w:p>
    <w:p w:rsidR="000037F0" w:rsidRDefault="000037F0" w:rsidP="000037F0">
      <w:pPr>
        <w:pStyle w:val="PargrafodaLista"/>
        <w:numPr>
          <w:ilvl w:val="0"/>
          <w:numId w:val="1"/>
        </w:numPr>
        <w:spacing w:after="0" w:line="240" w:lineRule="auto"/>
        <w:ind w:left="0"/>
        <w:jc w:val="both"/>
      </w:pPr>
      <w:r>
        <w:t>Solo se aceptará un artículo por autor, y los artículos podrán tener un máximo de dos autores. En caso de coautoría, el autor responsable del envío deberá copiar al otro autor, de no realizarlo será posible eliminar la comunicación.</w:t>
      </w:r>
    </w:p>
    <w:p w:rsidR="000037F0" w:rsidRDefault="000037F0" w:rsidP="000037F0">
      <w:pPr>
        <w:spacing w:after="0" w:line="240" w:lineRule="auto"/>
        <w:jc w:val="both"/>
      </w:pPr>
    </w:p>
    <w:p w:rsidR="000037F0" w:rsidRDefault="000037F0" w:rsidP="000037F0">
      <w:pPr>
        <w:pStyle w:val="PargrafodaLista"/>
        <w:numPr>
          <w:ilvl w:val="0"/>
          <w:numId w:val="1"/>
        </w:numPr>
        <w:spacing w:after="0" w:line="240" w:lineRule="auto"/>
        <w:ind w:left="0"/>
        <w:jc w:val="both"/>
      </w:pPr>
      <w:r>
        <w:t>Se aceptarán artículos en portugués, español e inglés.</w:t>
      </w:r>
    </w:p>
    <w:p w:rsidR="000037F0" w:rsidRDefault="000037F0" w:rsidP="000037F0">
      <w:pPr>
        <w:pStyle w:val="PargrafodaLista"/>
        <w:spacing w:after="0" w:line="240" w:lineRule="auto"/>
        <w:ind w:left="0"/>
      </w:pPr>
    </w:p>
    <w:p w:rsidR="000037F0" w:rsidRDefault="000037F0" w:rsidP="000037F0">
      <w:pPr>
        <w:pStyle w:val="PargrafodaLista"/>
        <w:numPr>
          <w:ilvl w:val="0"/>
          <w:numId w:val="1"/>
        </w:numPr>
        <w:spacing w:after="0" w:line="240" w:lineRule="auto"/>
        <w:ind w:left="0"/>
        <w:jc w:val="both"/>
      </w:pPr>
      <w:r>
        <w:t>El título del trabajo debe deber estar en el idioma del artículo, seguido del título traducido al inglés.</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El resumen debe contener de 180 a 250 palabras. Debe estar escrito en el idioma del autor y traducido al inglés. Debe presentar de 3 a 5 palabras clave, en el idioma original y en inglés.</w:t>
      </w:r>
    </w:p>
    <w:p w:rsidR="000037F0" w:rsidRDefault="000037F0" w:rsidP="000037F0">
      <w:pPr>
        <w:spacing w:after="0" w:line="240" w:lineRule="auto"/>
        <w:jc w:val="both"/>
      </w:pPr>
    </w:p>
    <w:p w:rsidR="000037F0" w:rsidRDefault="000037F0" w:rsidP="000037F0">
      <w:pPr>
        <w:pStyle w:val="PargrafodaLista"/>
        <w:numPr>
          <w:ilvl w:val="0"/>
          <w:numId w:val="1"/>
        </w:numPr>
        <w:spacing w:after="0" w:line="240" w:lineRule="auto"/>
        <w:ind w:left="0"/>
        <w:jc w:val="both"/>
      </w:pPr>
      <w:r>
        <w:t>No se aceptarán trabajos en formato autor-fecha. Se debe utilizar formato numérico, con notas a pie de página.</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Los trabajos deben tener entre 10 y 15 páginas, incluyendo la bibliografía al final, con fuente Arial, tamaño 12, en un documento de Word, con márgenes de 3 cm (arriba e izquierda) y 2 cm (abajo y derecha).</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No se aceptarán presentaciones pregrabadas ni videoconferencias.</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No se aceptarán trabajos fuera de los temas de los GT propuestos.</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Los trabajos aceptados tendrán derecho a la emisión de un certificado de participación.</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En el caso de coautoría, los trabajos aceptados serán expuestos por uno de los autores.</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Para la presentación de los trabajos aceptados se tendrá 10 (diez) minutos.</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1"/>
        </w:numPr>
        <w:spacing w:after="0" w:line="240" w:lineRule="auto"/>
        <w:ind w:left="0"/>
        <w:jc w:val="both"/>
      </w:pPr>
      <w:r>
        <w:t>Las referencias al final del artículo deben obedecer las siguientes reglas:</w:t>
      </w:r>
    </w:p>
    <w:p w:rsidR="000037F0" w:rsidRDefault="000037F0" w:rsidP="000037F0">
      <w:pPr>
        <w:spacing w:after="0" w:line="240" w:lineRule="auto"/>
        <w:jc w:val="both"/>
      </w:pPr>
    </w:p>
    <w:p w:rsidR="000037F0" w:rsidRDefault="000037F0" w:rsidP="000037F0">
      <w:pPr>
        <w:spacing w:after="0" w:line="240" w:lineRule="auto"/>
        <w:jc w:val="both"/>
      </w:pPr>
      <w:r>
        <w:t xml:space="preserve">Libros: apellidos y nombre del autor, nombre del libro, ciudad, editorial y año. (A.T.L: EA) </w:t>
      </w:r>
    </w:p>
    <w:p w:rsidR="000037F0" w:rsidRDefault="000037F0" w:rsidP="000037F0">
      <w:pPr>
        <w:spacing w:after="0" w:line="240" w:lineRule="auto"/>
        <w:jc w:val="both"/>
      </w:pPr>
    </w:p>
    <w:p w:rsidR="000037F0" w:rsidRDefault="000037F0" w:rsidP="000037F0">
      <w:pPr>
        <w:spacing w:after="0" w:line="240" w:lineRule="auto"/>
        <w:jc w:val="both"/>
      </w:pPr>
      <w:r>
        <w:t>Ejemplo: Nogueira Alcalá, Humberto. El diálogo transjudicial de la Corte Constitucional entre ellos mismos y los Tribunales Internacionales de Derechos Humanos. Santiago: Librotecnia, 2012.</w:t>
      </w:r>
    </w:p>
    <w:p w:rsidR="000037F0" w:rsidRDefault="000037F0" w:rsidP="000037F0">
      <w:pPr>
        <w:spacing w:after="0" w:line="240" w:lineRule="auto"/>
        <w:jc w:val="both"/>
      </w:pPr>
    </w:p>
    <w:p w:rsidR="000037F0" w:rsidRDefault="000037F0" w:rsidP="000037F0">
      <w:pPr>
        <w:spacing w:after="0" w:line="240" w:lineRule="auto"/>
        <w:jc w:val="both"/>
      </w:pPr>
      <w:r>
        <w:t xml:space="preserve">Capítulos de libro: apellido y nombre del autor, nombre del capítulo entre comillas, nombre del organizador o coordinador del libro, nombre del libro, ciudad, editorial y año. </w:t>
      </w:r>
    </w:p>
    <w:p w:rsidR="000037F0" w:rsidRDefault="000037F0" w:rsidP="000037F0">
      <w:pPr>
        <w:spacing w:after="0" w:line="240" w:lineRule="auto"/>
        <w:jc w:val="both"/>
      </w:pPr>
    </w:p>
    <w:p w:rsidR="000037F0" w:rsidRDefault="000037F0" w:rsidP="000037F0">
      <w:pPr>
        <w:spacing w:after="0" w:line="240" w:lineRule="auto"/>
        <w:jc w:val="both"/>
      </w:pPr>
      <w:r>
        <w:t>Ejemplo: Jinesta Lobo, Ernesto. “Control de convencionalidad ejercido por los Tribunales y Salas Constitucionales”, en Ferrer Mac-Gregor, Eduardo (Coord.): El control difuso de convencionalidad. Diálogo entre la Corte Interamericana de Derechos Humanos y los tribunales nacionales. Querétaro, FUNDA, 2012.</w:t>
      </w:r>
    </w:p>
    <w:p w:rsidR="000037F0" w:rsidRDefault="000037F0" w:rsidP="000037F0">
      <w:pPr>
        <w:spacing w:after="0" w:line="240" w:lineRule="auto"/>
        <w:jc w:val="both"/>
      </w:pPr>
    </w:p>
    <w:p w:rsidR="000037F0" w:rsidRDefault="000037F0" w:rsidP="000037F0">
      <w:pPr>
        <w:spacing w:after="0" w:line="240" w:lineRule="auto"/>
        <w:jc w:val="both"/>
      </w:pPr>
      <w:r>
        <w:t xml:space="preserve">Artículos de revistas: Apellido y nombre del autor, nombre del artículo entre comillas, nombre de la revista o anuario en el que se publicó, volumen y número, año, ciudad e institución, primera y última página. </w:t>
      </w:r>
    </w:p>
    <w:p w:rsidR="000037F0" w:rsidRDefault="000037F0" w:rsidP="000037F0">
      <w:pPr>
        <w:spacing w:after="0" w:line="240" w:lineRule="auto"/>
        <w:jc w:val="both"/>
      </w:pPr>
    </w:p>
    <w:p w:rsidR="000037F0" w:rsidRDefault="000037F0" w:rsidP="000037F0">
      <w:pPr>
        <w:spacing w:after="0" w:line="240" w:lineRule="auto"/>
        <w:jc w:val="both"/>
      </w:pPr>
      <w:r>
        <w:t>Ejemplo: Moyano Bonilla, César, “El comienzo de la primacía internacional”, en Legal. Anuario del Departamento de Derecho de la Universidad Iberoamericana, n. 24, 1995-1, Ciudad de México DF, Universidad Iberoamericana, pág. 311-337.</w:t>
      </w:r>
    </w:p>
    <w:p w:rsidR="000037F0" w:rsidRDefault="000037F0" w:rsidP="000037F0">
      <w:pPr>
        <w:spacing w:after="0" w:line="240" w:lineRule="auto"/>
        <w:jc w:val="both"/>
      </w:pPr>
    </w:p>
    <w:p w:rsidR="000037F0" w:rsidRDefault="000037F0" w:rsidP="000037F0">
      <w:pPr>
        <w:spacing w:after="0" w:line="240" w:lineRule="auto"/>
        <w:jc w:val="both"/>
      </w:pPr>
      <w:r>
        <w:t xml:space="preserve">Decisiones judiciales: Juzgado, identificación de caso, nómina o número de expediente, fecha de sentencia. </w:t>
      </w:r>
    </w:p>
    <w:p w:rsidR="000037F0" w:rsidRDefault="000037F0" w:rsidP="000037F0">
      <w:pPr>
        <w:spacing w:after="0" w:line="240" w:lineRule="auto"/>
        <w:jc w:val="both"/>
      </w:pPr>
    </w:p>
    <w:p w:rsidR="000037F0" w:rsidRDefault="000037F0" w:rsidP="000037F0">
      <w:pPr>
        <w:spacing w:after="0" w:line="240" w:lineRule="auto"/>
        <w:jc w:val="both"/>
      </w:pPr>
      <w:r>
        <w:t xml:space="preserve">Ejemplo: Tribunal Supremo: Pérez con Fisco. Rol N ° 230-2009, sentencia final del 15 de abril de 2009. </w:t>
      </w:r>
    </w:p>
    <w:p w:rsidR="000037F0" w:rsidRDefault="000037F0" w:rsidP="000037F0">
      <w:pPr>
        <w:spacing w:after="0" w:line="240" w:lineRule="auto"/>
        <w:jc w:val="both"/>
      </w:pPr>
    </w:p>
    <w:p w:rsidR="000037F0" w:rsidRDefault="000037F0" w:rsidP="000037F0">
      <w:pPr>
        <w:spacing w:after="0" w:line="240" w:lineRule="auto"/>
        <w:jc w:val="both"/>
      </w:pPr>
      <w:r>
        <w:t xml:space="preserve">Sentencias de la Corte Interamericana de Derechos Humanos. </w:t>
      </w:r>
    </w:p>
    <w:p w:rsidR="000037F0" w:rsidRDefault="000037F0" w:rsidP="000037F0">
      <w:pPr>
        <w:spacing w:after="0" w:line="240" w:lineRule="auto"/>
        <w:jc w:val="both"/>
      </w:pPr>
    </w:p>
    <w:p w:rsidR="000037F0" w:rsidRDefault="000037F0" w:rsidP="000037F0">
      <w:pPr>
        <w:spacing w:after="0" w:line="240" w:lineRule="auto"/>
        <w:jc w:val="both"/>
      </w:pPr>
      <w:r>
        <w:t>Ejemplo: Corte Interamericana: Caso Almonacid Arellano y otros vs. Chile. Excepciones Preliminares, Fondo, Reparaciones y Costas. Sentencia de 26 de septiembre de 2006. Serie C Nº 154. 21.</w:t>
      </w:r>
    </w:p>
    <w:p w:rsidR="000037F0" w:rsidRDefault="000037F0" w:rsidP="000037F0">
      <w:pPr>
        <w:pStyle w:val="PargrafodaLista"/>
        <w:spacing w:after="0" w:line="240" w:lineRule="auto"/>
        <w:ind w:left="0"/>
        <w:jc w:val="both"/>
      </w:pPr>
    </w:p>
    <w:p w:rsidR="000037F0" w:rsidRDefault="000037F0" w:rsidP="000037F0">
      <w:pPr>
        <w:pStyle w:val="PargrafodaLista"/>
        <w:numPr>
          <w:ilvl w:val="0"/>
          <w:numId w:val="2"/>
        </w:numPr>
        <w:spacing w:after="0" w:line="240" w:lineRule="auto"/>
        <w:ind w:left="0"/>
        <w:jc w:val="both"/>
      </w:pPr>
      <w:r>
        <w:t>Los artículos enviados conjuntamente con profesores de doctorado, aceptados y defendidos, formarán parte de la Colección Editada por RED-IDD, con ISBN. Los artículos enviados, aceptados y defendidos, exclusivamente por estudiantes de maestría y doctorado, serán publicados en las actas del evento, con ISNN. La publicación de los artículos aceptados para su presentación se llevará a cabo el 9 de octubre de 2020.</w:t>
      </w:r>
    </w:p>
    <w:p w:rsidR="00E22C65" w:rsidRDefault="00F73305" w:rsidP="000037F0">
      <w:pPr>
        <w:spacing w:after="0" w:line="240" w:lineRule="auto"/>
      </w:pPr>
    </w:p>
    <w:sectPr w:rsidR="00E22C6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7A" w:rsidRDefault="00315C7A">
      <w:pPr>
        <w:spacing w:after="0" w:line="240" w:lineRule="auto"/>
      </w:pPr>
      <w:r>
        <w:separator/>
      </w:r>
    </w:p>
  </w:endnote>
  <w:endnote w:type="continuationSeparator" w:id="0">
    <w:p w:rsidR="00315C7A" w:rsidRDefault="0031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13665"/>
      <w:docPartObj>
        <w:docPartGallery w:val="Page Numbers (Bottom of Page)"/>
        <w:docPartUnique/>
      </w:docPartObj>
    </w:sdtPr>
    <w:sdtEndPr/>
    <w:sdtContent>
      <w:p w:rsidR="0025682D" w:rsidRDefault="000037F0">
        <w:pPr>
          <w:pStyle w:val="Rodap"/>
          <w:jc w:val="right"/>
        </w:pPr>
        <w:r>
          <w:fldChar w:fldCharType="begin"/>
        </w:r>
        <w:r>
          <w:instrText>PAGE   \* MERGEFORMAT</w:instrText>
        </w:r>
        <w:r>
          <w:fldChar w:fldCharType="separate"/>
        </w:r>
        <w:r w:rsidR="00F73305" w:rsidRPr="00F73305">
          <w:rPr>
            <w:noProof/>
            <w:lang w:val="es-ES"/>
          </w:rPr>
          <w:t>1</w:t>
        </w:r>
        <w:r>
          <w:fldChar w:fldCharType="end"/>
        </w:r>
      </w:p>
    </w:sdtContent>
  </w:sdt>
  <w:p w:rsidR="0025682D" w:rsidRDefault="00F733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7A" w:rsidRDefault="00315C7A">
      <w:pPr>
        <w:spacing w:after="0" w:line="240" w:lineRule="auto"/>
      </w:pPr>
      <w:r>
        <w:separator/>
      </w:r>
    </w:p>
  </w:footnote>
  <w:footnote w:type="continuationSeparator" w:id="0">
    <w:p w:rsidR="00315C7A" w:rsidRDefault="0031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42235"/>
    <w:multiLevelType w:val="hybridMultilevel"/>
    <w:tmpl w:val="6A18AEA6"/>
    <w:lvl w:ilvl="0" w:tplc="280A0019">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1" w15:restartNumberingAfterBreak="0">
    <w:nsid w:val="537874D3"/>
    <w:multiLevelType w:val="hybridMultilevel"/>
    <w:tmpl w:val="63289558"/>
    <w:lvl w:ilvl="0" w:tplc="D97AA16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F0"/>
    <w:rsid w:val="000037F0"/>
    <w:rsid w:val="000367B7"/>
    <w:rsid w:val="000519CE"/>
    <w:rsid w:val="00087FD9"/>
    <w:rsid w:val="001821ED"/>
    <w:rsid w:val="001A7CD1"/>
    <w:rsid w:val="002D1B8D"/>
    <w:rsid w:val="00315C7A"/>
    <w:rsid w:val="003B10D8"/>
    <w:rsid w:val="003B62B2"/>
    <w:rsid w:val="00565CCE"/>
    <w:rsid w:val="007F6DD1"/>
    <w:rsid w:val="00926782"/>
    <w:rsid w:val="009C015B"/>
    <w:rsid w:val="00A10D93"/>
    <w:rsid w:val="00C91ADD"/>
    <w:rsid w:val="00CD49B0"/>
    <w:rsid w:val="00D70342"/>
    <w:rsid w:val="00F257B7"/>
    <w:rsid w:val="00F73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B5E12-95CF-4317-AEE3-D36EDA81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F0"/>
    <w:pPr>
      <w:spacing w:after="160" w:line="259" w:lineRule="auto"/>
    </w:pPr>
    <w:rPr>
      <w:lang w:val="es-P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37F0"/>
    <w:pPr>
      <w:ind w:left="720"/>
      <w:contextualSpacing/>
    </w:pPr>
  </w:style>
  <w:style w:type="character" w:styleId="Hyperlink">
    <w:name w:val="Hyperlink"/>
    <w:basedOn w:val="Fontepargpadro"/>
    <w:uiPriority w:val="99"/>
    <w:unhideWhenUsed/>
    <w:rsid w:val="000037F0"/>
    <w:rPr>
      <w:color w:val="0000FF" w:themeColor="hyperlink"/>
      <w:u w:val="single"/>
    </w:rPr>
  </w:style>
  <w:style w:type="paragraph" w:styleId="Rodap">
    <w:name w:val="footer"/>
    <w:basedOn w:val="Normal"/>
    <w:link w:val="RodapChar"/>
    <w:uiPriority w:val="99"/>
    <w:unhideWhenUsed/>
    <w:rsid w:val="000037F0"/>
    <w:pPr>
      <w:tabs>
        <w:tab w:val="center" w:pos="4252"/>
        <w:tab w:val="right" w:pos="8504"/>
      </w:tabs>
      <w:spacing w:after="0" w:line="240" w:lineRule="auto"/>
    </w:pPr>
  </w:style>
  <w:style w:type="character" w:customStyle="1" w:styleId="RodapChar">
    <w:name w:val="Rodapé Char"/>
    <w:basedOn w:val="Fontepargpadro"/>
    <w:link w:val="Rodap"/>
    <w:uiPriority w:val="99"/>
    <w:rsid w:val="000037F0"/>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dd2020@unifor.br" TargetMode="External"/><Relationship Id="rId3" Type="http://schemas.openxmlformats.org/officeDocument/2006/relationships/settings" Target="settings.xml"/><Relationship Id="rId7" Type="http://schemas.openxmlformats.org/officeDocument/2006/relationships/hyperlink" Target="mailto:redidd2020@unifor.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9810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LUIZ CARLOS CUNHA DE CARVALHO</cp:lastModifiedBy>
  <cp:revision>2</cp:revision>
  <dcterms:created xsi:type="dcterms:W3CDTF">2020-09-21T12:29:00Z</dcterms:created>
  <dcterms:modified xsi:type="dcterms:W3CDTF">2020-09-21T12:29:00Z</dcterms:modified>
</cp:coreProperties>
</file>